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DCAC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6119B3D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14:paraId="3C7D2417" w14:textId="77777777"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Evaluation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14:paraId="27DE5149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DC5C40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14:paraId="16E12993" w14:textId="77777777" w:rsidR="008F319D" w:rsidRPr="00FD070C" w:rsidRDefault="00C85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February 7</w:t>
      </w:r>
      <w:r w:rsidR="009F38F9" w:rsidRPr="009F38F9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 w:rsidR="009F38F9">
        <w:rPr>
          <w:rFonts w:asciiTheme="majorHAnsi" w:hAnsiTheme="majorHAnsi" w:cstheme="majorHAnsi"/>
          <w:color w:val="000000"/>
          <w:sz w:val="24"/>
          <w:szCs w:val="24"/>
        </w:rPr>
        <w:t>, 10 am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85391C"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="00011B95"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14:paraId="5704ADE3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14:paraId="698FD439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Topic: 21CCLC Evaluation Committee</w:t>
      </w:r>
    </w:p>
    <w:p w14:paraId="4DCD8B16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14:paraId="615DB8E9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Join Zoom Meeting</w:t>
      </w:r>
    </w:p>
    <w:p w14:paraId="638BAE64" w14:textId="77777777" w:rsidR="009114CC" w:rsidRPr="009114CC" w:rsidRDefault="009114CC" w:rsidP="0032031D">
      <w:pPr>
        <w:tabs>
          <w:tab w:val="left" w:pos="3650"/>
          <w:tab w:val="center" w:pos="4680"/>
          <w:tab w:val="left" w:pos="7578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https://us06web.zoom.us/j/95523785601?pwd=V2pHRG1iQlhGQm1iMGkrWWxSMTFCZz09</w:t>
      </w:r>
    </w:p>
    <w:p w14:paraId="00AE13D0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14:paraId="313AD21A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Meeting ID: 955 2378 5601</w:t>
      </w:r>
    </w:p>
    <w:p w14:paraId="389B0A7C" w14:textId="77777777"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Passcode: 781712</w:t>
      </w:r>
    </w:p>
    <w:p w14:paraId="2EEE10A0" w14:textId="77777777" w:rsidR="00BD16A3" w:rsidRDefault="00BD16A3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14:paraId="7E00968C" w14:textId="77777777"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779C838C" w14:textId="77777777"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A6F9A74" w14:textId="77777777"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14:paraId="36853313" w14:textId="77777777"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F053F10" w14:textId="77777777"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14:paraId="77511683" w14:textId="77777777"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14:paraId="4D1D6021" w14:textId="77777777" w:rsidTr="00506F60">
        <w:tc>
          <w:tcPr>
            <w:tcW w:w="3596" w:type="dxa"/>
            <w:shd w:val="clear" w:color="auto" w:fill="D9D9D9" w:themeFill="background1" w:themeFillShade="D9"/>
          </w:tcPr>
          <w:p w14:paraId="7CD9874A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0280AB5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B2FA016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EE282B" w14:paraId="0FFA4F30" w14:textId="77777777" w:rsidTr="00040300">
        <w:tc>
          <w:tcPr>
            <w:tcW w:w="3596" w:type="dxa"/>
            <w:vAlign w:val="bottom"/>
          </w:tcPr>
          <w:p w14:paraId="7AFDC0A7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14:paraId="73D4D1BB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sdt>
          <w:sdtPr>
            <w:rPr>
              <w:sz w:val="24"/>
              <w:szCs w:val="24"/>
            </w:rPr>
            <w:id w:val="-914620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467EF7EE" w14:textId="0DA63B4A" w:rsidR="00EE282B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14:paraId="206C51CA" w14:textId="77777777" w:rsidTr="00040300">
        <w:tc>
          <w:tcPr>
            <w:tcW w:w="3596" w:type="dxa"/>
            <w:vAlign w:val="bottom"/>
          </w:tcPr>
          <w:p w14:paraId="10BCA33B" w14:textId="77777777" w:rsidR="00EE282B" w:rsidRDefault="00EE282B" w:rsidP="00DE3D3F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r w:rsidR="00DE3D3F">
              <w:rPr>
                <w:color w:val="000000"/>
              </w:rPr>
              <w:t>Clair</w:t>
            </w:r>
          </w:p>
        </w:tc>
        <w:tc>
          <w:tcPr>
            <w:tcW w:w="3597" w:type="dxa"/>
            <w:vAlign w:val="bottom"/>
          </w:tcPr>
          <w:p w14:paraId="2FCECA27" w14:textId="77777777" w:rsidR="00EE282B" w:rsidRDefault="00EE282B" w:rsidP="008E70BC">
            <w:pPr>
              <w:rPr>
                <w:color w:val="000000"/>
              </w:rPr>
            </w:pPr>
            <w:r>
              <w:rPr>
                <w:color w:val="000000"/>
              </w:rPr>
              <w:t>Iowa C</w:t>
            </w:r>
            <w:r w:rsidR="008E70BC">
              <w:rPr>
                <w:color w:val="000000"/>
              </w:rPr>
              <w:t>i</w:t>
            </w:r>
            <w:r>
              <w:rPr>
                <w:color w:val="000000"/>
              </w:rPr>
              <w:t>ty Schools</w:t>
            </w:r>
          </w:p>
        </w:tc>
        <w:sdt>
          <w:sdtPr>
            <w:rPr>
              <w:sz w:val="24"/>
              <w:szCs w:val="24"/>
            </w:rPr>
            <w:id w:val="18023425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2B2E0B18" w14:textId="030CAD2E" w:rsidR="00EE282B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14:paraId="218BB8DD" w14:textId="77777777" w:rsidTr="00040300">
        <w:tc>
          <w:tcPr>
            <w:tcW w:w="3596" w:type="dxa"/>
            <w:vAlign w:val="bottom"/>
          </w:tcPr>
          <w:p w14:paraId="768A8374" w14:textId="77777777" w:rsidR="00EE282B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>Katie Boatright</w:t>
            </w:r>
          </w:p>
        </w:tc>
        <w:tc>
          <w:tcPr>
            <w:tcW w:w="3597" w:type="dxa"/>
            <w:vAlign w:val="bottom"/>
          </w:tcPr>
          <w:p w14:paraId="3AE1E783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sdt>
          <w:sdtPr>
            <w:rPr>
              <w:sz w:val="24"/>
              <w:szCs w:val="24"/>
            </w:rPr>
            <w:id w:val="5152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077B5580" w14:textId="02A5DBA0" w:rsidR="00EE282B" w:rsidRDefault="0079267E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282B" w14:paraId="0C4F7FFD" w14:textId="77777777" w:rsidTr="00040300">
        <w:tc>
          <w:tcPr>
            <w:tcW w:w="3596" w:type="dxa"/>
            <w:vAlign w:val="bottom"/>
          </w:tcPr>
          <w:p w14:paraId="083FB3F4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Beth Christoffer</w:t>
            </w:r>
          </w:p>
        </w:tc>
        <w:tc>
          <w:tcPr>
            <w:tcW w:w="3597" w:type="dxa"/>
            <w:vAlign w:val="bottom"/>
          </w:tcPr>
          <w:p w14:paraId="0EE75DED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sdt>
          <w:sdtPr>
            <w:rPr>
              <w:sz w:val="24"/>
              <w:szCs w:val="24"/>
            </w:rPr>
            <w:id w:val="-207957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D0B0F1C" w14:textId="3D482F84" w:rsidR="00EE282B" w:rsidRDefault="0079267E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282B" w14:paraId="296024F2" w14:textId="77777777" w:rsidTr="00040300">
        <w:tc>
          <w:tcPr>
            <w:tcW w:w="3596" w:type="dxa"/>
            <w:vAlign w:val="bottom"/>
          </w:tcPr>
          <w:p w14:paraId="60EDC614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Elana Zalar</w:t>
            </w:r>
          </w:p>
        </w:tc>
        <w:tc>
          <w:tcPr>
            <w:tcW w:w="3597" w:type="dxa"/>
            <w:vAlign w:val="bottom"/>
          </w:tcPr>
          <w:p w14:paraId="1CD4DDCF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sdt>
          <w:sdtPr>
            <w:rPr>
              <w:sz w:val="24"/>
              <w:szCs w:val="24"/>
            </w:rPr>
            <w:id w:val="363871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2D4E214C" w14:textId="6C814AE1" w:rsidR="00EE282B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14:paraId="00F6D8B0" w14:textId="77777777" w:rsidTr="00040300">
        <w:tc>
          <w:tcPr>
            <w:tcW w:w="3596" w:type="dxa"/>
            <w:vAlign w:val="bottom"/>
          </w:tcPr>
          <w:p w14:paraId="68762490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Lynn Redenbaugh</w:t>
            </w:r>
          </w:p>
        </w:tc>
        <w:tc>
          <w:tcPr>
            <w:tcW w:w="3597" w:type="dxa"/>
            <w:vAlign w:val="bottom"/>
          </w:tcPr>
          <w:p w14:paraId="1765A18D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sdt>
          <w:sdtPr>
            <w:rPr>
              <w:sz w:val="24"/>
              <w:szCs w:val="24"/>
            </w:rPr>
            <w:id w:val="-1742696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30F34DA7" w14:textId="26E7AD70" w:rsidR="00EE282B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14:paraId="156F2B09" w14:textId="77777777" w:rsidTr="00040300">
        <w:tc>
          <w:tcPr>
            <w:tcW w:w="3596" w:type="dxa"/>
            <w:vAlign w:val="bottom"/>
          </w:tcPr>
          <w:p w14:paraId="18E38353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14:paraId="6B31C125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sdt>
          <w:sdtPr>
            <w:rPr>
              <w:sz w:val="24"/>
              <w:szCs w:val="24"/>
            </w:rPr>
            <w:id w:val="-13506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6ECBA468" w14:textId="2802FFBB" w:rsidR="00EE282B" w:rsidRDefault="0079267E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01D4" w14:paraId="179210CE" w14:textId="77777777" w:rsidTr="00040300">
        <w:tc>
          <w:tcPr>
            <w:tcW w:w="3596" w:type="dxa"/>
            <w:vAlign w:val="bottom"/>
          </w:tcPr>
          <w:p w14:paraId="64D2B87B" w14:textId="77777777"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Ryan McDonald</w:t>
            </w:r>
          </w:p>
        </w:tc>
        <w:tc>
          <w:tcPr>
            <w:tcW w:w="3597" w:type="dxa"/>
            <w:vAlign w:val="bottom"/>
          </w:tcPr>
          <w:p w14:paraId="02FC3A14" w14:textId="77777777"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Public Schools</w:t>
            </w:r>
          </w:p>
        </w:tc>
        <w:sdt>
          <w:sdtPr>
            <w:rPr>
              <w:sz w:val="24"/>
              <w:szCs w:val="24"/>
            </w:rPr>
            <w:id w:val="19111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214CBA41" w14:textId="29BDB265" w:rsidR="00EA01D4" w:rsidRDefault="0079267E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282B" w14:paraId="65A53840" w14:textId="77777777" w:rsidTr="00040300">
        <w:tc>
          <w:tcPr>
            <w:tcW w:w="3596" w:type="dxa"/>
            <w:vAlign w:val="bottom"/>
          </w:tcPr>
          <w:p w14:paraId="599B7A5D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14:paraId="3CB21F39" w14:textId="77777777"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sdt>
          <w:sdtPr>
            <w:rPr>
              <w:sz w:val="24"/>
              <w:szCs w:val="24"/>
            </w:rPr>
            <w:id w:val="-498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18649498" w14:textId="0F66F3DC" w:rsidR="00EE282B" w:rsidRDefault="0079267E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391C" w14:paraId="3DADC249" w14:textId="77777777" w:rsidTr="00040300">
        <w:tc>
          <w:tcPr>
            <w:tcW w:w="3596" w:type="dxa"/>
            <w:vAlign w:val="bottom"/>
          </w:tcPr>
          <w:p w14:paraId="0E6BCF76" w14:textId="77777777"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14:paraId="59029E09" w14:textId="77777777"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>IDOE</w:t>
            </w:r>
          </w:p>
        </w:tc>
        <w:sdt>
          <w:sdtPr>
            <w:rPr>
              <w:sz w:val="24"/>
              <w:szCs w:val="24"/>
            </w:rPr>
            <w:id w:val="-6449749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547593A3" w14:textId="6D7F421A" w:rsidR="0085391C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1AB7" w14:paraId="2E7B5F2E" w14:textId="77777777" w:rsidTr="00040300">
        <w:tc>
          <w:tcPr>
            <w:tcW w:w="3596" w:type="dxa"/>
            <w:vAlign w:val="bottom"/>
          </w:tcPr>
          <w:p w14:paraId="37B668C5" w14:textId="217FA078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Jessica Walter</w:t>
            </w:r>
          </w:p>
        </w:tc>
        <w:tc>
          <w:tcPr>
            <w:tcW w:w="3597" w:type="dxa"/>
            <w:vAlign w:val="bottom"/>
          </w:tcPr>
          <w:p w14:paraId="6BDE1891" w14:textId="79B40A5B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CBCSD</w:t>
            </w:r>
          </w:p>
        </w:tc>
        <w:sdt>
          <w:sdtPr>
            <w:rPr>
              <w:sz w:val="24"/>
              <w:szCs w:val="24"/>
            </w:rPr>
            <w:id w:val="-890492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42616C0F" w14:textId="6C001377" w:rsidR="00801AB7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1AB7" w14:paraId="5721F0C8" w14:textId="77777777" w:rsidTr="00040300">
        <w:tc>
          <w:tcPr>
            <w:tcW w:w="3596" w:type="dxa"/>
            <w:vAlign w:val="bottom"/>
          </w:tcPr>
          <w:p w14:paraId="2C3FC682" w14:textId="5E22C432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Linda Phillips</w:t>
            </w:r>
          </w:p>
        </w:tc>
        <w:tc>
          <w:tcPr>
            <w:tcW w:w="3597" w:type="dxa"/>
            <w:vAlign w:val="bottom"/>
          </w:tcPr>
          <w:p w14:paraId="25AF3E92" w14:textId="4D37CAD1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DMPS </w:t>
            </w:r>
          </w:p>
        </w:tc>
        <w:sdt>
          <w:sdtPr>
            <w:rPr>
              <w:sz w:val="24"/>
              <w:szCs w:val="24"/>
            </w:rPr>
            <w:id w:val="1791392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4F003C9B" w14:textId="1A76314D" w:rsidR="00801AB7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1AB7" w14:paraId="655A042D" w14:textId="77777777" w:rsidTr="00040300">
        <w:tc>
          <w:tcPr>
            <w:tcW w:w="3596" w:type="dxa"/>
            <w:vAlign w:val="bottom"/>
          </w:tcPr>
          <w:p w14:paraId="6D3805D5" w14:textId="62408E27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Tim Glenn</w:t>
            </w:r>
          </w:p>
        </w:tc>
        <w:tc>
          <w:tcPr>
            <w:tcW w:w="3597" w:type="dxa"/>
            <w:vAlign w:val="bottom"/>
          </w:tcPr>
          <w:p w14:paraId="1944A462" w14:textId="77777777" w:rsidR="00801AB7" w:rsidRDefault="00801AB7" w:rsidP="00EE282B">
            <w:pPr>
              <w:rPr>
                <w:color w:val="000000"/>
              </w:rPr>
            </w:pPr>
          </w:p>
        </w:tc>
        <w:sdt>
          <w:sdtPr>
            <w:rPr>
              <w:sz w:val="24"/>
              <w:szCs w:val="24"/>
            </w:rPr>
            <w:id w:val="1221331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7962FB92" w14:textId="25382073" w:rsidR="00801AB7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1AB7" w14:paraId="6DC26CA0" w14:textId="77777777" w:rsidTr="00040300">
        <w:tc>
          <w:tcPr>
            <w:tcW w:w="3596" w:type="dxa"/>
            <w:vAlign w:val="bottom"/>
          </w:tcPr>
          <w:p w14:paraId="2241D3EC" w14:textId="44429ED5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Abby Kempema</w:t>
            </w:r>
          </w:p>
        </w:tc>
        <w:tc>
          <w:tcPr>
            <w:tcW w:w="3597" w:type="dxa"/>
            <w:vAlign w:val="bottom"/>
          </w:tcPr>
          <w:p w14:paraId="526BCBD7" w14:textId="40E929B3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Beyond the Bell</w:t>
            </w:r>
          </w:p>
        </w:tc>
        <w:sdt>
          <w:sdtPr>
            <w:rPr>
              <w:sz w:val="24"/>
              <w:szCs w:val="24"/>
            </w:rPr>
            <w:id w:val="175697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0C77DF69" w14:textId="66C9A828" w:rsidR="00801AB7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01AB7" w14:paraId="063CEDF2" w14:textId="77777777" w:rsidTr="00040300">
        <w:tc>
          <w:tcPr>
            <w:tcW w:w="3596" w:type="dxa"/>
            <w:vAlign w:val="bottom"/>
          </w:tcPr>
          <w:p w14:paraId="13DBF0F1" w14:textId="7FB8D4D3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Lynn Redenbaugh</w:t>
            </w:r>
          </w:p>
        </w:tc>
        <w:tc>
          <w:tcPr>
            <w:tcW w:w="3597" w:type="dxa"/>
            <w:vAlign w:val="bottom"/>
          </w:tcPr>
          <w:p w14:paraId="77B715EE" w14:textId="4F3E8A5B" w:rsidR="00801AB7" w:rsidRDefault="00801AB7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</w:t>
            </w:r>
          </w:p>
        </w:tc>
        <w:sdt>
          <w:sdtPr>
            <w:rPr>
              <w:sz w:val="24"/>
              <w:szCs w:val="24"/>
            </w:rPr>
            <w:id w:val="16144728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7" w:type="dxa"/>
              </w:tcPr>
              <w:p w14:paraId="45D13722" w14:textId="41A79D1A" w:rsidR="00801AB7" w:rsidRDefault="00801AB7" w:rsidP="00EE282B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4E033DD7" w14:textId="77777777"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6D683A58" w14:textId="77777777"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5293289F" w14:textId="77777777" w:rsidR="00C85ECB" w:rsidRDefault="00C85ECB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728A2FE7" w14:textId="77777777" w:rsidR="00C85ECB" w:rsidRDefault="00C85E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5CB072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14:paraId="13C7EB2A" w14:textId="77777777" w:rsidTr="00C85ECB">
        <w:tc>
          <w:tcPr>
            <w:tcW w:w="3775" w:type="dxa"/>
            <w:shd w:val="clear" w:color="auto" w:fill="D9D9D9" w:themeFill="background1" w:themeFillShade="D9"/>
          </w:tcPr>
          <w:p w14:paraId="10E9E540" w14:textId="77777777"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780C87F0" w14:textId="77777777"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14:paraId="133CB297" w14:textId="77777777" w:rsidTr="00C85ECB">
        <w:tc>
          <w:tcPr>
            <w:tcW w:w="3775" w:type="dxa"/>
          </w:tcPr>
          <w:p w14:paraId="7795702A" w14:textId="77777777" w:rsidR="00FD070C" w:rsidRPr="00FD070C" w:rsidRDefault="006E4FE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14:paraId="3AFCE728" w14:textId="77777777" w:rsidR="00C908C5" w:rsidRPr="00FD070C" w:rsidRDefault="00C908C5" w:rsidP="00011B95">
            <w:pPr>
              <w:rPr>
                <w:sz w:val="28"/>
                <w:szCs w:val="28"/>
              </w:rPr>
            </w:pPr>
          </w:p>
        </w:tc>
      </w:tr>
      <w:tr w:rsidR="00C85ECB" w14:paraId="7E2E9599" w14:textId="77777777" w:rsidTr="00C85ECB">
        <w:tc>
          <w:tcPr>
            <w:tcW w:w="3775" w:type="dxa"/>
          </w:tcPr>
          <w:p w14:paraId="1A9C0228" w14:textId="77777777" w:rsidR="00C85ECB" w:rsidRDefault="00C85ECB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focus areas: Annual Needs</w:t>
            </w:r>
          </w:p>
        </w:tc>
        <w:tc>
          <w:tcPr>
            <w:tcW w:w="7015" w:type="dxa"/>
          </w:tcPr>
          <w:p w14:paraId="6E0B6DF4" w14:textId="77777777" w:rsidR="00C85ECB" w:rsidRPr="00C85ECB" w:rsidRDefault="00C85ECB" w:rsidP="00C85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GPRA, APR, local evaluations, and statewide survey go? What evaluation needs do you have?</w:t>
            </w:r>
            <w:r w:rsidRPr="00C85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Further</w:t>
            </w:r>
            <w:r w:rsidRPr="00C85ECB">
              <w:rPr>
                <w:sz w:val="28"/>
                <w:szCs w:val="28"/>
              </w:rPr>
              <w:t xml:space="preserve"> Data collection support?</w:t>
            </w:r>
          </w:p>
          <w:p w14:paraId="47861709" w14:textId="77777777" w:rsidR="00C85ECB" w:rsidRDefault="00C85ECB" w:rsidP="00C85ECB">
            <w:pPr>
              <w:rPr>
                <w:sz w:val="28"/>
                <w:szCs w:val="28"/>
              </w:rPr>
            </w:pPr>
          </w:p>
        </w:tc>
      </w:tr>
      <w:tr w:rsidR="00C85ECB" w14:paraId="6704F62A" w14:textId="77777777" w:rsidTr="00C85ECB">
        <w:tc>
          <w:tcPr>
            <w:tcW w:w="3775" w:type="dxa"/>
          </w:tcPr>
          <w:p w14:paraId="5C2E0CE9" w14:textId="77777777" w:rsidR="00C85ECB" w:rsidRDefault="00C85ECB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Guide Review/Feedback</w:t>
            </w:r>
          </w:p>
        </w:tc>
        <w:tc>
          <w:tcPr>
            <w:tcW w:w="7015" w:type="dxa"/>
          </w:tcPr>
          <w:p w14:paraId="6A0437D9" w14:textId="12CF5BB2" w:rsidR="00695B05" w:rsidRDefault="00695B05" w:rsidP="0069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 </w:t>
            </w:r>
            <w:r w:rsidR="001F1583">
              <w:rPr>
                <w:sz w:val="28"/>
                <w:szCs w:val="28"/>
              </w:rPr>
              <w:t>suggests</w:t>
            </w:r>
            <w:r>
              <w:rPr>
                <w:sz w:val="28"/>
                <w:szCs w:val="28"/>
              </w:rPr>
              <w:t xml:space="preserve"> creating measu</w:t>
            </w:r>
            <w:r w:rsidR="001F1583">
              <w:rPr>
                <w:sz w:val="28"/>
                <w:szCs w:val="28"/>
              </w:rPr>
              <w:t xml:space="preserve">rable </w:t>
            </w:r>
            <w:r>
              <w:rPr>
                <w:sz w:val="28"/>
                <w:szCs w:val="28"/>
              </w:rPr>
              <w:t>objectives</w:t>
            </w:r>
            <w:r w:rsidR="001F1583">
              <w:rPr>
                <w:sz w:val="28"/>
                <w:szCs w:val="28"/>
              </w:rPr>
              <w:t xml:space="preserve"> for the best practice guidance.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1F1583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rantees have access to technical assistance from</w:t>
            </w:r>
            <w:r w:rsidR="001F1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Ron &amp; Rusty</w:t>
            </w:r>
            <w:r w:rsidR="001F1583">
              <w:rPr>
                <w:sz w:val="28"/>
                <w:szCs w:val="28"/>
              </w:rPr>
              <w:t xml:space="preserve">. They can assist with objectives and local evaluations. </w:t>
            </w:r>
          </w:p>
          <w:p w14:paraId="3EDF6E34" w14:textId="77777777" w:rsidR="00695B05" w:rsidRDefault="00695B05" w:rsidP="00695B05">
            <w:pPr>
              <w:rPr>
                <w:sz w:val="28"/>
                <w:szCs w:val="28"/>
              </w:rPr>
            </w:pPr>
          </w:p>
          <w:p w14:paraId="6DB22A12" w14:textId="67F8608E" w:rsidR="00C85ECB" w:rsidRDefault="00695B05" w:rsidP="0069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Lynn suggests looking at the guide in </w:t>
            </w:r>
            <w:r w:rsidR="001F1583">
              <w:rPr>
                <w:sz w:val="28"/>
                <w:szCs w:val="28"/>
              </w:rPr>
              <w:t xml:space="preserve">digestible pieces  </w:t>
            </w:r>
            <w:r>
              <w:rPr>
                <w:sz w:val="28"/>
                <w:szCs w:val="28"/>
              </w:rPr>
              <w:t>instead of the full document at once.</w:t>
            </w:r>
          </w:p>
        </w:tc>
      </w:tr>
      <w:tr w:rsidR="00C85ECB" w14:paraId="744B3AF1" w14:textId="77777777" w:rsidTr="00C85ECB">
        <w:tc>
          <w:tcPr>
            <w:tcW w:w="3775" w:type="dxa"/>
          </w:tcPr>
          <w:p w14:paraId="44648C63" w14:textId="77777777" w:rsidR="00C85ECB" w:rsidRDefault="00C85ECB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Questions/Troubleshooting</w:t>
            </w:r>
          </w:p>
        </w:tc>
        <w:tc>
          <w:tcPr>
            <w:tcW w:w="7015" w:type="dxa"/>
          </w:tcPr>
          <w:p w14:paraId="606A97B7" w14:textId="77777777" w:rsidR="00C85ECB" w:rsidRDefault="00C85ECB" w:rsidP="00BD16A3">
            <w:pPr>
              <w:rPr>
                <w:sz w:val="28"/>
                <w:szCs w:val="28"/>
              </w:rPr>
            </w:pPr>
          </w:p>
        </w:tc>
      </w:tr>
      <w:tr w:rsidR="00C85ECB" w14:paraId="0436178D" w14:textId="77777777" w:rsidTr="00C85ECB">
        <w:tc>
          <w:tcPr>
            <w:tcW w:w="3775" w:type="dxa"/>
          </w:tcPr>
          <w:p w14:paraId="05212C3C" w14:textId="77777777" w:rsidR="00C85ECB" w:rsidRDefault="00C85ECB" w:rsidP="0089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015" w:type="dxa"/>
          </w:tcPr>
          <w:p w14:paraId="4558B84F" w14:textId="59C67412" w:rsidR="00054348" w:rsidRDefault="00054348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GPRA- Vic suggest adding a zero in the outcome if you do not have data. He also shared that he cannot provide an extension for APR. </w:t>
            </w:r>
          </w:p>
          <w:p w14:paraId="45854C20" w14:textId="77777777" w:rsidR="00054348" w:rsidRDefault="00054348" w:rsidP="00011B95">
            <w:pPr>
              <w:rPr>
                <w:sz w:val="28"/>
                <w:szCs w:val="28"/>
              </w:rPr>
            </w:pPr>
          </w:p>
          <w:p w14:paraId="40FF69FE" w14:textId="636F77C2" w:rsidR="00C85ECB" w:rsidRDefault="00801AB7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</w:t>
            </w:r>
            <w:r w:rsidR="00054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shares that DMPS does not </w:t>
            </w:r>
            <w:r w:rsidR="00054348">
              <w:rPr>
                <w:sz w:val="28"/>
                <w:szCs w:val="28"/>
              </w:rPr>
              <w:t>do i</w:t>
            </w:r>
            <w:r>
              <w:rPr>
                <w:sz w:val="28"/>
                <w:szCs w:val="28"/>
              </w:rPr>
              <w:t>n school suspension</w:t>
            </w:r>
            <w:r w:rsidR="00054348">
              <w:rPr>
                <w:sz w:val="28"/>
                <w:szCs w:val="28"/>
              </w:rPr>
              <w:t xml:space="preserve"> and asks if they could use data that is comparable. </w:t>
            </w:r>
            <w:r w:rsidR="00054348">
              <w:rPr>
                <w:sz w:val="28"/>
                <w:szCs w:val="28"/>
              </w:rPr>
              <w:br/>
              <w:t xml:space="preserve">Vic suggested adding a comment under data box. </w:t>
            </w:r>
          </w:p>
          <w:p w14:paraId="7A100C14" w14:textId="77777777" w:rsidR="00801AB7" w:rsidRDefault="00801AB7" w:rsidP="00011B95">
            <w:pPr>
              <w:rPr>
                <w:sz w:val="28"/>
                <w:szCs w:val="28"/>
              </w:rPr>
            </w:pPr>
          </w:p>
          <w:p w14:paraId="40D58C69" w14:textId="5B786159" w:rsidR="00F45FFE" w:rsidRDefault="00801AB7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 </w:t>
            </w:r>
            <w:r w:rsidR="00054348">
              <w:rPr>
                <w:sz w:val="28"/>
                <w:szCs w:val="28"/>
              </w:rPr>
              <w:t xml:space="preserve">encourages grantees to </w:t>
            </w:r>
            <w:r w:rsidR="00F45FFE">
              <w:rPr>
                <w:sz w:val="28"/>
                <w:szCs w:val="28"/>
              </w:rPr>
              <w:t xml:space="preserve">add student </w:t>
            </w:r>
            <w:r w:rsidR="00054348">
              <w:rPr>
                <w:sz w:val="28"/>
                <w:szCs w:val="28"/>
              </w:rPr>
              <w:t xml:space="preserve">reading and math progress </w:t>
            </w:r>
            <w:r w:rsidR="00F45FFE">
              <w:rPr>
                <w:sz w:val="28"/>
                <w:szCs w:val="28"/>
              </w:rPr>
              <w:t xml:space="preserve">to their local evaluations. </w:t>
            </w:r>
          </w:p>
          <w:p w14:paraId="0E9DD7E5" w14:textId="519104A5" w:rsidR="00801AB7" w:rsidRDefault="00F45FFE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Kaitlin would like to create an informal survey for local objectives. </w:t>
            </w:r>
          </w:p>
          <w:p w14:paraId="7FDE350D" w14:textId="77777777" w:rsidR="00801AB7" w:rsidRDefault="00801AB7" w:rsidP="00011B95">
            <w:pPr>
              <w:rPr>
                <w:sz w:val="28"/>
                <w:szCs w:val="28"/>
              </w:rPr>
            </w:pPr>
          </w:p>
          <w:p w14:paraId="29A0CD9C" w14:textId="46522E49" w:rsidR="00D274E2" w:rsidRDefault="00D274E2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Lynn would like clarification on the GPRA, reading and math local objectives. </w:t>
            </w:r>
          </w:p>
          <w:p w14:paraId="157005DA" w14:textId="6A384563" w:rsidR="00D274E2" w:rsidRDefault="00D274E2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made an observation on the state survey</w:t>
            </w:r>
            <w:r w:rsidR="00F45FFE">
              <w:rPr>
                <w:sz w:val="28"/>
                <w:szCs w:val="28"/>
              </w:rPr>
              <w:t xml:space="preserve"> still referencing regular attending on questions </w:t>
            </w:r>
            <w:r>
              <w:rPr>
                <w:sz w:val="28"/>
                <w:szCs w:val="28"/>
              </w:rPr>
              <w:t xml:space="preserve">10 &amp; 11.  </w:t>
            </w:r>
          </w:p>
          <w:p w14:paraId="7A5489FD" w14:textId="77777777" w:rsidR="00D274E2" w:rsidRDefault="00D274E2" w:rsidP="00011B95">
            <w:pPr>
              <w:rPr>
                <w:sz w:val="28"/>
                <w:szCs w:val="28"/>
              </w:rPr>
            </w:pPr>
          </w:p>
          <w:p w14:paraId="4EE9F97B" w14:textId="2CCC689D" w:rsidR="00D274E2" w:rsidRDefault="00D274E2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Clair</w:t>
            </w:r>
            <w:r w:rsidR="00F45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shares that consistent dates </w:t>
            </w:r>
            <w:r w:rsidR="00F45FFE">
              <w:rPr>
                <w:sz w:val="28"/>
                <w:szCs w:val="28"/>
              </w:rPr>
              <w:t>for data collection w</w:t>
            </w:r>
            <w:r>
              <w:rPr>
                <w:sz w:val="28"/>
                <w:szCs w:val="28"/>
              </w:rPr>
              <w:t>ould be helpful</w:t>
            </w:r>
            <w:r w:rsidR="00F45FFE">
              <w:rPr>
                <w:sz w:val="28"/>
                <w:szCs w:val="28"/>
              </w:rPr>
              <w:t xml:space="preserve"> for current and new grantees. She </w:t>
            </w:r>
            <w:r w:rsidR="00695B05">
              <w:rPr>
                <w:sz w:val="28"/>
                <w:szCs w:val="28"/>
              </w:rPr>
              <w:t>suggests</w:t>
            </w:r>
            <w:r w:rsidR="00F45FFE">
              <w:rPr>
                <w:sz w:val="28"/>
                <w:szCs w:val="28"/>
              </w:rPr>
              <w:t xml:space="preserve"> being consistent and reminding grantees of exact dates for summer and school year and whether they need to fill it out. </w:t>
            </w:r>
          </w:p>
          <w:p w14:paraId="2FCDD277" w14:textId="3AD4E6CC" w:rsidR="00D274E2" w:rsidRDefault="00D274E2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AAB6DD" w14:textId="7D8A84DD" w:rsidR="00D274E2" w:rsidRPr="00FD070C" w:rsidRDefault="00D274E2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Kaitlin would like </w:t>
            </w:r>
            <w:r w:rsidR="00695B05">
              <w:rPr>
                <w:sz w:val="28"/>
                <w:szCs w:val="28"/>
              </w:rPr>
              <w:t xml:space="preserve">the </w:t>
            </w:r>
            <w:r w:rsidR="00E9414E">
              <w:rPr>
                <w:sz w:val="28"/>
                <w:szCs w:val="28"/>
              </w:rPr>
              <w:t xml:space="preserve">statewide survey to be shared </w:t>
            </w:r>
            <w:r w:rsidR="00695B05">
              <w:rPr>
                <w:sz w:val="28"/>
                <w:szCs w:val="28"/>
              </w:rPr>
              <w:t>with the afterschool network for the committee’s area of focus.</w:t>
            </w:r>
          </w:p>
        </w:tc>
      </w:tr>
      <w:tr w:rsidR="00C85ECB" w14:paraId="278E9E14" w14:textId="77777777" w:rsidTr="00C85ECB">
        <w:tc>
          <w:tcPr>
            <w:tcW w:w="3775" w:type="dxa"/>
          </w:tcPr>
          <w:p w14:paraId="2A3238D7" w14:textId="77777777" w:rsidR="00C85ECB" w:rsidRDefault="00C85ECB" w:rsidP="00FD070C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14:paraId="5E2B3163" w14:textId="7EE0D22C" w:rsidR="00C85ECB" w:rsidRDefault="00E9414E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Kaitlin is still looking for a volunteer to lend support in creating </w:t>
            </w:r>
            <w:r w:rsidR="001F1583">
              <w:rPr>
                <w:sz w:val="28"/>
                <w:szCs w:val="28"/>
              </w:rPr>
              <w:t xml:space="preserve">best practice guidance </w:t>
            </w:r>
            <w:r>
              <w:rPr>
                <w:sz w:val="28"/>
                <w:szCs w:val="28"/>
              </w:rPr>
              <w:t xml:space="preserve">objectives. </w:t>
            </w:r>
          </w:p>
          <w:p w14:paraId="63BB67EB" w14:textId="00662774" w:rsidR="00E9414E" w:rsidRPr="00FD070C" w:rsidRDefault="00650955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5533AD6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0504E7DB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283F744F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14:paraId="255DB392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14:paraId="66B4A5C2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EBCB6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A4F56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5914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02F01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811ED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14:paraId="3A7293E3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FCA3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3C80A" w14:textId="0D886F6E" w:rsidR="00506F60" w:rsidRPr="00275E7E" w:rsidRDefault="00E9414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Share statewide survey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04C5" w14:textId="2673B26B" w:rsidR="00506F60" w:rsidRPr="00275E7E" w:rsidRDefault="00E9414E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Kaitlin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9CAF0" w14:textId="49146701" w:rsidR="00506F60" w:rsidRPr="00275E7E" w:rsidRDefault="0065095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Committee area of focus 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B3D12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328F09AD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035B8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ADE9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183DB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BF2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048A1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14:paraId="34730CBD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CBC6ECD" w14:textId="77777777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r w:rsidR="00C85ECB">
        <w:rPr>
          <w:b/>
          <w:color w:val="000000"/>
          <w:sz w:val="28"/>
          <w:szCs w:val="28"/>
        </w:rPr>
        <w:t>April 4th</w:t>
      </w:r>
    </w:p>
    <w:p w14:paraId="23F37488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16E2" w14:textId="77777777" w:rsidR="006B78A0" w:rsidRDefault="006B78A0">
      <w:pPr>
        <w:spacing w:after="0" w:line="240" w:lineRule="auto"/>
      </w:pPr>
      <w:r>
        <w:separator/>
      </w:r>
    </w:p>
  </w:endnote>
  <w:endnote w:type="continuationSeparator" w:id="0">
    <w:p w14:paraId="3EE3DAA4" w14:textId="77777777" w:rsidR="006B78A0" w:rsidRDefault="006B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C2D1" w14:textId="77777777" w:rsidR="006B78A0" w:rsidRDefault="006B78A0">
      <w:pPr>
        <w:spacing w:after="0" w:line="240" w:lineRule="auto"/>
      </w:pPr>
      <w:r>
        <w:separator/>
      </w:r>
    </w:p>
  </w:footnote>
  <w:footnote w:type="continuationSeparator" w:id="0">
    <w:p w14:paraId="13AB7A0C" w14:textId="77777777" w:rsidR="006B78A0" w:rsidRDefault="006B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5D99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3B2D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F8F00DD" wp14:editId="7C20E145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1AF"/>
    <w:multiLevelType w:val="hybridMultilevel"/>
    <w:tmpl w:val="2336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2892">
    <w:abstractNumId w:val="4"/>
  </w:num>
  <w:num w:numId="2" w16cid:durableId="337774907">
    <w:abstractNumId w:val="3"/>
  </w:num>
  <w:num w:numId="3" w16cid:durableId="138764946">
    <w:abstractNumId w:val="5"/>
  </w:num>
  <w:num w:numId="4" w16cid:durableId="1383947873">
    <w:abstractNumId w:val="1"/>
  </w:num>
  <w:num w:numId="5" w16cid:durableId="843859588">
    <w:abstractNumId w:val="2"/>
  </w:num>
  <w:num w:numId="6" w16cid:durableId="5564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D"/>
    <w:rsid w:val="00011B95"/>
    <w:rsid w:val="00031CD6"/>
    <w:rsid w:val="00054348"/>
    <w:rsid w:val="000D273D"/>
    <w:rsid w:val="001D1733"/>
    <w:rsid w:val="001E7FF8"/>
    <w:rsid w:val="001F1583"/>
    <w:rsid w:val="00232F99"/>
    <w:rsid w:val="002E673C"/>
    <w:rsid w:val="0032031D"/>
    <w:rsid w:val="00326221"/>
    <w:rsid w:val="003D413C"/>
    <w:rsid w:val="0045370E"/>
    <w:rsid w:val="00462C21"/>
    <w:rsid w:val="00476BC6"/>
    <w:rsid w:val="004C5038"/>
    <w:rsid w:val="004D049A"/>
    <w:rsid w:val="004D3580"/>
    <w:rsid w:val="00506F60"/>
    <w:rsid w:val="00513320"/>
    <w:rsid w:val="005214E7"/>
    <w:rsid w:val="005337C8"/>
    <w:rsid w:val="005A33C6"/>
    <w:rsid w:val="005C53F7"/>
    <w:rsid w:val="005D6554"/>
    <w:rsid w:val="005F6222"/>
    <w:rsid w:val="00600376"/>
    <w:rsid w:val="006206AC"/>
    <w:rsid w:val="0062289D"/>
    <w:rsid w:val="00650955"/>
    <w:rsid w:val="006668DE"/>
    <w:rsid w:val="0069233D"/>
    <w:rsid w:val="00695B05"/>
    <w:rsid w:val="006B78A0"/>
    <w:rsid w:val="006E4FE9"/>
    <w:rsid w:val="00712A11"/>
    <w:rsid w:val="00773AEE"/>
    <w:rsid w:val="0079267E"/>
    <w:rsid w:val="007D38BD"/>
    <w:rsid w:val="00801AB7"/>
    <w:rsid w:val="0080587B"/>
    <w:rsid w:val="0083092E"/>
    <w:rsid w:val="0085391C"/>
    <w:rsid w:val="00860A3F"/>
    <w:rsid w:val="008712FA"/>
    <w:rsid w:val="008D1408"/>
    <w:rsid w:val="008E70BC"/>
    <w:rsid w:val="008F319D"/>
    <w:rsid w:val="009114CC"/>
    <w:rsid w:val="00941605"/>
    <w:rsid w:val="0094723A"/>
    <w:rsid w:val="009C38DA"/>
    <w:rsid w:val="009F38F9"/>
    <w:rsid w:val="00A565C4"/>
    <w:rsid w:val="00B26D55"/>
    <w:rsid w:val="00B50BAB"/>
    <w:rsid w:val="00B864FC"/>
    <w:rsid w:val="00BB6047"/>
    <w:rsid w:val="00BD16A3"/>
    <w:rsid w:val="00BF00E5"/>
    <w:rsid w:val="00C6088B"/>
    <w:rsid w:val="00C85ECB"/>
    <w:rsid w:val="00C908C5"/>
    <w:rsid w:val="00D2069E"/>
    <w:rsid w:val="00D274E2"/>
    <w:rsid w:val="00DA3C43"/>
    <w:rsid w:val="00DC26C8"/>
    <w:rsid w:val="00DC5C40"/>
    <w:rsid w:val="00DE3D3F"/>
    <w:rsid w:val="00E412D8"/>
    <w:rsid w:val="00E9414E"/>
    <w:rsid w:val="00EA01D4"/>
    <w:rsid w:val="00EA63E8"/>
    <w:rsid w:val="00EC32CD"/>
    <w:rsid w:val="00EC3982"/>
    <w:rsid w:val="00EE282B"/>
    <w:rsid w:val="00F45FFE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D56D"/>
  <w15:docId w15:val="{CF011734-FA9E-48CF-947B-6E7AF77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Elva  Griffin</cp:lastModifiedBy>
  <cp:revision>3</cp:revision>
  <dcterms:created xsi:type="dcterms:W3CDTF">2023-02-07T15:56:00Z</dcterms:created>
  <dcterms:modified xsi:type="dcterms:W3CDTF">2023-02-07T17:52:00Z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446530acdd2986c207ff873cbf49e89c18cee7c31b5f9f23cfbee4bc34c4d405</vt:lpwstr>
  </property>
</Properties>
</file>