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FD0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Communications and Engagement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>Meeting Agenda</w:t>
      </w:r>
    </w:p>
    <w:p w:rsidR="00B61848" w:rsidRDefault="001C0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January 13, 2021</w:t>
      </w:r>
      <w:bookmarkStart w:id="1" w:name="_GoBack"/>
      <w:bookmarkEnd w:id="1"/>
    </w:p>
    <w:p w:rsidR="008F319D" w:rsidRPr="00FD070C" w:rsidRDefault="00B61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1</w:t>
      </w:r>
      <w:r w:rsidR="00B14B5E">
        <w:rPr>
          <w:rFonts w:asciiTheme="majorHAnsi" w:hAnsiTheme="majorHAnsi" w:cstheme="majorHAnsi"/>
          <w:color w:val="000000"/>
          <w:sz w:val="24"/>
          <w:szCs w:val="24"/>
        </w:rPr>
        <w:t>1</w:t>
      </w:r>
      <w:r>
        <w:rPr>
          <w:rFonts w:asciiTheme="majorHAnsi" w:hAnsiTheme="majorHAnsi" w:cstheme="majorHAnsi"/>
          <w:color w:val="000000"/>
          <w:sz w:val="24"/>
          <w:szCs w:val="24"/>
        </w:rPr>
        <w:t>:00am</w:t>
      </w: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97B40" w:rsidRDefault="00B97B40" w:rsidP="00B97B4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Join Zoom Meeting</w:t>
      </w:r>
    </w:p>
    <w:p w:rsidR="00B97B40" w:rsidRDefault="001C0896" w:rsidP="00B97B40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r:id="rId7" w:history="1">
        <w:r w:rsidR="00B97B40">
          <w:rPr>
            <w:rStyle w:val="Hyperlink"/>
            <w:sz w:val="24"/>
            <w:szCs w:val="24"/>
          </w:rPr>
          <w:t>https://zoom.us/j/94732632017?pwd=OFFpdTk3UmM1L1V0TnZPTHRTNUtvdz09</w:t>
        </w:r>
      </w:hyperlink>
    </w:p>
    <w:p w:rsidR="00B97B40" w:rsidRDefault="00B97B40" w:rsidP="00B97B4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Meeting ID: 947 3263 2017</w:t>
      </w:r>
    </w:p>
    <w:p w:rsidR="00B97B40" w:rsidRDefault="00B97B40" w:rsidP="00B97B4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Passcode: 293534</w:t>
      </w:r>
    </w:p>
    <w:p w:rsidR="00CF3EE5" w:rsidRDefault="00CF3EE5" w:rsidP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  <w:highlight w:val="yellow"/>
        </w:rPr>
        <w:t>Please mute your phones as to reduce background noise.</w:t>
      </w:r>
    </w:p>
    <w:p w:rsidR="00CF3EE5" w:rsidRPr="00FD070C" w:rsidRDefault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D070C" w:rsidRPr="00FD070C" w:rsidRDefault="00506F60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b/>
        </w:rPr>
        <w:t>COMMITTEE MISSION:</w:t>
      </w:r>
      <w:r w:rsidR="00FD070C" w:rsidRPr="00FD070C">
        <w:rPr>
          <w:rFonts w:asciiTheme="majorHAnsi" w:hAnsiTheme="majorHAnsi" w:cstheme="majorHAnsi"/>
          <w:b/>
        </w:rPr>
        <w:t xml:space="preserve"> </w:t>
      </w:r>
      <w:r w:rsidR="00FD070C" w:rsidRPr="00FD070C">
        <w:rPr>
          <w:rFonts w:asciiTheme="majorHAnsi" w:hAnsiTheme="majorHAnsi" w:cstheme="majorHAnsi"/>
          <w:color w:val="181818"/>
        </w:rPr>
        <w:t>This committee keeps current with 21CCLC activities and best practice examples occurring across the state and communicates examples of high-quality afterschool programming on a regular basis.</w:t>
      </w:r>
    </w:p>
    <w:p w:rsidR="00506F60" w:rsidRPr="00FD070C" w:rsidRDefault="00FD070C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color w:val="181818"/>
        </w:rPr>
        <w:t>​</w:t>
      </w:r>
    </w:p>
    <w:p w:rsidR="00506F60" w:rsidRDefault="00C343FE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2020-2021</w:t>
      </w:r>
      <w:r w:rsidR="00FD070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06F60" w:rsidRPr="00FD070C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:rsidR="000A0179" w:rsidRDefault="000A0179" w:rsidP="000A0179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Meet every other month.</w:t>
      </w:r>
    </w:p>
    <w:p w:rsidR="00506F60" w:rsidRDefault="000A0179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Share successes/resources with all.</w:t>
      </w:r>
    </w:p>
    <w:p w:rsidR="00C343FE" w:rsidRDefault="00C343FE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Address communication plans in response to COVID-19.</w:t>
      </w:r>
    </w:p>
    <w:p w:rsidR="00C343FE" w:rsidRDefault="00C343FE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Develop a communication plan for sites to provide guidance on what, how, and when to communicate with different levels of staff.</w:t>
      </w:r>
    </w:p>
    <w:p w:rsidR="00C343FE" w:rsidRDefault="00C343FE" w:rsidP="00506F60">
      <w:pPr>
        <w:pStyle w:val="ListParagraph"/>
        <w:numPr>
          <w:ilvl w:val="0"/>
          <w:numId w:val="3"/>
        </w:num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Explore the option of an online platform for the 21CCLC network to share ideas, troubleshoot issues, and communicate about day to day operations across the state.</w:t>
      </w:r>
    </w:p>
    <w:p w:rsidR="00C343FE" w:rsidRPr="00C343FE" w:rsidRDefault="00C343FE" w:rsidP="00C343FE">
      <w:pPr>
        <w:pStyle w:val="ListParagraph"/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 </w:t>
            </w:r>
            <w:proofErr w:type="spellStart"/>
            <w:r>
              <w:rPr>
                <w:sz w:val="24"/>
                <w:szCs w:val="24"/>
              </w:rPr>
              <w:t>McGorry</w:t>
            </w:r>
            <w:proofErr w:type="spellEnd"/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Mark’s 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 Hostetler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Iowa City CSD </w:t>
            </w:r>
          </w:p>
        </w:tc>
        <w:tc>
          <w:tcPr>
            <w:tcW w:w="3597" w:type="dxa"/>
          </w:tcPr>
          <w:p w:rsidR="00506F60" w:rsidRDefault="00020FE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Excused via email</w:t>
            </w: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Nelson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 CSD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Kelsi Stanley</w:t>
            </w:r>
          </w:p>
        </w:tc>
        <w:tc>
          <w:tcPr>
            <w:tcW w:w="3597" w:type="dxa"/>
          </w:tcPr>
          <w:p w:rsidR="00506F60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Georgia </w:t>
            </w:r>
            <w:proofErr w:type="spellStart"/>
            <w:r>
              <w:rPr>
                <w:sz w:val="24"/>
                <w:szCs w:val="24"/>
              </w:rPr>
              <w:t>Beeman</w:t>
            </w:r>
            <w:proofErr w:type="spellEnd"/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 Public Schools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3173FF" w:rsidTr="00506F60">
        <w:tc>
          <w:tcPr>
            <w:tcW w:w="3596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Aileen </w:t>
            </w:r>
            <w:proofErr w:type="spellStart"/>
            <w:r>
              <w:rPr>
                <w:sz w:val="24"/>
                <w:szCs w:val="24"/>
              </w:rPr>
              <w:t>Hunnell</w:t>
            </w:r>
            <w:proofErr w:type="spellEnd"/>
          </w:p>
        </w:tc>
        <w:tc>
          <w:tcPr>
            <w:tcW w:w="3597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Moines Public Schools </w:t>
            </w:r>
          </w:p>
        </w:tc>
        <w:tc>
          <w:tcPr>
            <w:tcW w:w="3597" w:type="dxa"/>
          </w:tcPr>
          <w:p w:rsidR="003173FF" w:rsidRDefault="003173FF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Chuck Benge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 CSD</w:t>
            </w:r>
          </w:p>
        </w:tc>
        <w:tc>
          <w:tcPr>
            <w:tcW w:w="3597" w:type="dxa"/>
          </w:tcPr>
          <w:p w:rsidR="00B61848" w:rsidRDefault="00B851D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Witt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 Malicki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Kids On Course/Cedar Rapids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Barb Schmitz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</w:t>
            </w:r>
          </w:p>
        </w:tc>
        <w:tc>
          <w:tcPr>
            <w:tcW w:w="3597" w:type="dxa"/>
          </w:tcPr>
          <w:p w:rsidR="00B61848" w:rsidRDefault="00DD74F6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Hawkins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61848" w:rsidTr="00506F60">
        <w:tc>
          <w:tcPr>
            <w:tcW w:w="3596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Jacki </w:t>
            </w:r>
            <w:proofErr w:type="spellStart"/>
            <w:r>
              <w:rPr>
                <w:sz w:val="24"/>
                <w:szCs w:val="24"/>
              </w:rPr>
              <w:t>Lambe</w:t>
            </w:r>
            <w:proofErr w:type="spellEnd"/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 CSD</w:t>
            </w:r>
          </w:p>
        </w:tc>
        <w:tc>
          <w:tcPr>
            <w:tcW w:w="3597" w:type="dxa"/>
          </w:tcPr>
          <w:p w:rsidR="00B61848" w:rsidRDefault="00B61848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2C34F3" w:rsidTr="00506F60">
        <w:tc>
          <w:tcPr>
            <w:tcW w:w="3596" w:type="dxa"/>
          </w:tcPr>
          <w:p w:rsidR="002C34F3" w:rsidRP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Fernando Perez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</w:t>
            </w:r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2C34F3" w:rsidTr="00506F60">
        <w:tc>
          <w:tcPr>
            <w:tcW w:w="3596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Elena </w:t>
            </w:r>
            <w:proofErr w:type="spellStart"/>
            <w:r>
              <w:rPr>
                <w:sz w:val="24"/>
                <w:szCs w:val="24"/>
              </w:rPr>
              <w:t>Zalar</w:t>
            </w:r>
            <w:proofErr w:type="spellEnd"/>
          </w:p>
        </w:tc>
        <w:tc>
          <w:tcPr>
            <w:tcW w:w="3597" w:type="dxa"/>
          </w:tcPr>
          <w:p w:rsidR="002C34F3" w:rsidRDefault="002C34F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Bluffs </w:t>
            </w:r>
          </w:p>
        </w:tc>
        <w:tc>
          <w:tcPr>
            <w:tcW w:w="3597" w:type="dxa"/>
          </w:tcPr>
          <w:p w:rsidR="002C34F3" w:rsidRDefault="00B851D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81DD5" w:rsidTr="00506F60">
        <w:tc>
          <w:tcPr>
            <w:tcW w:w="3596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West</w:t>
            </w:r>
          </w:p>
        </w:tc>
        <w:tc>
          <w:tcPr>
            <w:tcW w:w="3597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F81DD5" w:rsidRDefault="00F81DD5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BC2D83" w:rsidTr="00506F60">
        <w:tc>
          <w:tcPr>
            <w:tcW w:w="3596" w:type="dxa"/>
          </w:tcPr>
          <w:p w:rsidR="00BC2D83" w:rsidRDefault="00020FE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Cynthia Lopez</w:t>
            </w:r>
          </w:p>
        </w:tc>
        <w:tc>
          <w:tcPr>
            <w:tcW w:w="3597" w:type="dxa"/>
          </w:tcPr>
          <w:p w:rsidR="00BC2D83" w:rsidRDefault="00BC2D8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Beyond the Bell</w:t>
            </w:r>
          </w:p>
        </w:tc>
        <w:tc>
          <w:tcPr>
            <w:tcW w:w="3597" w:type="dxa"/>
          </w:tcPr>
          <w:p w:rsidR="00BC2D83" w:rsidRDefault="00BC2D83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Jaras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IDOE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0A0179" w:rsidTr="00506F60">
        <w:tc>
          <w:tcPr>
            <w:tcW w:w="3596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Hall</w:t>
            </w:r>
          </w:p>
        </w:tc>
        <w:tc>
          <w:tcPr>
            <w:tcW w:w="3597" w:type="dxa"/>
          </w:tcPr>
          <w:p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0A0179" w:rsidRDefault="00020FE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A0179" w:rsidTr="00506F60">
        <w:tc>
          <w:tcPr>
            <w:tcW w:w="3596" w:type="dxa"/>
          </w:tcPr>
          <w:p w:rsidR="000A0179" w:rsidRDefault="006A56CB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Emilee Harris</w:t>
            </w:r>
          </w:p>
        </w:tc>
        <w:tc>
          <w:tcPr>
            <w:tcW w:w="3597" w:type="dxa"/>
          </w:tcPr>
          <w:p w:rsidR="000A0179" w:rsidRDefault="006A56CB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tc>
          <w:tcPr>
            <w:tcW w:w="3597" w:type="dxa"/>
          </w:tcPr>
          <w:p w:rsidR="000A0179" w:rsidRDefault="00020FE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506F60" w:rsidRDefault="00506F60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0A0179" w:rsidRDefault="000A017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8005"/>
      </w:tblGrid>
      <w:tr w:rsidR="00FD070C" w:rsidTr="00020FE4">
        <w:tc>
          <w:tcPr>
            <w:tcW w:w="278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800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FD070C" w:rsidTr="00020FE4">
        <w:tc>
          <w:tcPr>
            <w:tcW w:w="2785" w:type="dxa"/>
          </w:tcPr>
          <w:p w:rsidR="00FD070C" w:rsidRPr="00BC2D83" w:rsidRDefault="00D507A0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Media Champions</w:t>
            </w:r>
          </w:p>
        </w:tc>
        <w:tc>
          <w:tcPr>
            <w:tcW w:w="8005" w:type="dxa"/>
          </w:tcPr>
          <w:p w:rsidR="00FD070C" w:rsidRPr="00081720" w:rsidRDefault="00D507A0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Emilee Harris</w:t>
            </w:r>
            <w:r w:rsidR="00DD74F6">
              <w:rPr>
                <w:sz w:val="24"/>
                <w:szCs w:val="24"/>
              </w:rPr>
              <w:t xml:space="preserve"> has put together a presentation for us today that explains some of the process and analytics and the importance of Social Media Champions.</w:t>
            </w:r>
            <w:r w:rsidR="00077330">
              <w:rPr>
                <w:sz w:val="24"/>
                <w:szCs w:val="24"/>
              </w:rPr>
              <w:t xml:space="preserve"> See the recording connected to this meeting.</w:t>
            </w:r>
          </w:p>
        </w:tc>
      </w:tr>
      <w:tr w:rsidR="00FC1E7A" w:rsidTr="00020FE4">
        <w:tc>
          <w:tcPr>
            <w:tcW w:w="2785" w:type="dxa"/>
          </w:tcPr>
          <w:p w:rsidR="00FC1E7A" w:rsidRDefault="00FC1E7A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on Telegram App</w:t>
            </w:r>
          </w:p>
        </w:tc>
        <w:tc>
          <w:tcPr>
            <w:tcW w:w="8005" w:type="dxa"/>
          </w:tcPr>
          <w:p w:rsidR="00FC1E7A" w:rsidRDefault="00DD74F6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Emilee also spoke and demoed the Telegram App. </w:t>
            </w:r>
          </w:p>
          <w:p w:rsidR="00BD3C53" w:rsidRDefault="00BD3C53" w:rsidP="00FD070C">
            <w:pPr>
              <w:rPr>
                <w:sz w:val="24"/>
                <w:szCs w:val="24"/>
              </w:rPr>
            </w:pPr>
          </w:p>
          <w:p w:rsidR="00BD3C53" w:rsidRDefault="00BD3C53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steps: </w:t>
            </w:r>
            <w:r w:rsidR="00077330">
              <w:rPr>
                <w:sz w:val="24"/>
                <w:szCs w:val="24"/>
              </w:rPr>
              <w:t xml:space="preserve">The committee feels that we are now in a place to promote this opportunity to the broader network. </w:t>
            </w:r>
            <w:proofErr w:type="spellStart"/>
            <w:r w:rsidR="00077330">
              <w:rPr>
                <w:sz w:val="24"/>
                <w:szCs w:val="24"/>
              </w:rPr>
              <w:t>Elana</w:t>
            </w:r>
            <w:proofErr w:type="spellEnd"/>
            <w:r w:rsidR="00077330">
              <w:rPr>
                <w:sz w:val="24"/>
                <w:szCs w:val="24"/>
              </w:rPr>
              <w:t xml:space="preserve"> will draft an introductory paragraph and will run it past Barb and Chuck. She will send that to Crystal by the 21</w:t>
            </w:r>
            <w:r w:rsidR="00077330" w:rsidRPr="00077330">
              <w:rPr>
                <w:sz w:val="24"/>
                <w:szCs w:val="24"/>
                <w:vertAlign w:val="superscript"/>
              </w:rPr>
              <w:t>st</w:t>
            </w:r>
            <w:r w:rsidR="00077330">
              <w:rPr>
                <w:sz w:val="24"/>
                <w:szCs w:val="24"/>
              </w:rPr>
              <w:t xml:space="preserve"> of January. Crystal will add this to the Director’s Agenda as they are meeting the 22</w:t>
            </w:r>
            <w:r w:rsidR="00077330" w:rsidRPr="00077330">
              <w:rPr>
                <w:sz w:val="24"/>
                <w:szCs w:val="24"/>
                <w:vertAlign w:val="superscript"/>
              </w:rPr>
              <w:t>nd</w:t>
            </w:r>
            <w:r w:rsidR="00077330">
              <w:rPr>
                <w:sz w:val="24"/>
                <w:szCs w:val="24"/>
              </w:rPr>
              <w:t>. If there are no strong objections, we will roll this out the last week of January. Vic asked that we make sure that sites note that this is not a requirement, but a tool to make networking and idea sharing easier.  We will also want to inform the sites that the IAA (specifically Emilee) will be a monitor of the rooms/feed but will not be actively involved in the discussion in an effort to respect sites needs for privacy.</w:t>
            </w:r>
          </w:p>
          <w:p w:rsidR="00BD3C53" w:rsidRDefault="00BD3C53" w:rsidP="00FD070C">
            <w:pPr>
              <w:rPr>
                <w:sz w:val="24"/>
                <w:szCs w:val="24"/>
              </w:rPr>
            </w:pPr>
          </w:p>
        </w:tc>
      </w:tr>
      <w:tr w:rsidR="00F65566" w:rsidTr="00020FE4">
        <w:tc>
          <w:tcPr>
            <w:tcW w:w="2785" w:type="dxa"/>
          </w:tcPr>
          <w:p w:rsidR="00F65566" w:rsidRDefault="00F65566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 Afterschool Award</w:t>
            </w:r>
          </w:p>
        </w:tc>
        <w:tc>
          <w:tcPr>
            <w:tcW w:w="8005" w:type="dxa"/>
          </w:tcPr>
          <w:p w:rsidR="00F65566" w:rsidRDefault="00020FE4" w:rsidP="00FD070C">
            <w:r>
              <w:t xml:space="preserve">The IAA recently rolled out this recognition program in which sites can nominate someone at their site who is doing a phenomenal job with youth. Nominations can be sent via the link in our IAA newsletter or can be emailed directly to Emilee Harris at </w:t>
            </w:r>
            <w:hyperlink r:id="rId8" w:history="1">
              <w:r w:rsidRPr="00D70DAA">
                <w:rPr>
                  <w:rStyle w:val="Hyperlink"/>
                </w:rPr>
                <w:t>eharris@sppg.com</w:t>
              </w:r>
            </w:hyperlink>
            <w:r>
              <w:t>.</w:t>
            </w:r>
          </w:p>
          <w:p w:rsidR="00020FE4" w:rsidRDefault="00020FE4" w:rsidP="00FD070C"/>
          <w:p w:rsidR="00020FE4" w:rsidRDefault="00020FE4" w:rsidP="00FD070C">
            <w:pPr>
              <w:rPr>
                <w:sz w:val="24"/>
                <w:szCs w:val="24"/>
              </w:rPr>
            </w:pPr>
            <w:r w:rsidRPr="00020FE4">
              <w:rPr>
                <w:sz w:val="24"/>
                <w:szCs w:val="24"/>
              </w:rPr>
              <w:t xml:space="preserve">Nominate someone for A+ Afterschool here!! </w:t>
            </w:r>
            <w:hyperlink r:id="rId9" w:history="1">
              <w:r w:rsidRPr="00D70DAA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https://docs.google.com/forms/d/1fCxj8JyyyyxaJjPlYl5oegmywm7oD35RdPS_lv4Wl0Y/edit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F65566" w:rsidTr="00020FE4">
        <w:tc>
          <w:tcPr>
            <w:tcW w:w="2785" w:type="dxa"/>
          </w:tcPr>
          <w:p w:rsidR="00F65566" w:rsidRDefault="00F65566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 Reminder</w:t>
            </w:r>
          </w:p>
        </w:tc>
        <w:tc>
          <w:tcPr>
            <w:tcW w:w="8005" w:type="dxa"/>
          </w:tcPr>
          <w:p w:rsidR="00F65566" w:rsidRPr="00020FE4" w:rsidRDefault="00020FE4" w:rsidP="00FD070C">
            <w:r>
              <w:t>All sites are being reminded that your Local Evaluation should be shared on your website and that URL should b</w:t>
            </w:r>
            <w:r>
              <w:t xml:space="preserve">e shared with Vic and the IAA. </w:t>
            </w:r>
          </w:p>
        </w:tc>
      </w:tr>
      <w:tr w:rsidR="00D507A0" w:rsidTr="00020FE4">
        <w:tc>
          <w:tcPr>
            <w:tcW w:w="2785" w:type="dxa"/>
          </w:tcPr>
          <w:p w:rsidR="00D507A0" w:rsidRDefault="00D507A0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Highlights</w:t>
            </w:r>
          </w:p>
        </w:tc>
        <w:tc>
          <w:tcPr>
            <w:tcW w:w="8005" w:type="dxa"/>
          </w:tcPr>
          <w:p w:rsidR="00D507A0" w:rsidRDefault="00020FE4" w:rsidP="00FD07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Elana</w:t>
            </w:r>
            <w:proofErr w:type="spellEnd"/>
            <w:r>
              <w:rPr>
                <w:sz w:val="24"/>
                <w:szCs w:val="24"/>
              </w:rPr>
              <w:t xml:space="preserve"> shared that Council Bluffs is </w:t>
            </w:r>
            <w:r w:rsidR="00DD74F6">
              <w:rPr>
                <w:sz w:val="24"/>
                <w:szCs w:val="24"/>
              </w:rPr>
              <w:t>holding program as normal as possible. They feel they have finally figured out how to manage safety and PPE.</w:t>
            </w:r>
          </w:p>
          <w:p w:rsidR="00BD3C53" w:rsidRDefault="00BD3C53" w:rsidP="00FD070C">
            <w:pPr>
              <w:rPr>
                <w:sz w:val="24"/>
                <w:szCs w:val="24"/>
              </w:rPr>
            </w:pPr>
          </w:p>
          <w:p w:rsidR="00BD3C53" w:rsidRDefault="00BD3C53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shared that Oelwein started a virtual program for their online students. It is working out very well. Program is flowing, attendance is growing, and take-home bags with a coordinated pick up site has been implemented. They are also going face-to-face.</w:t>
            </w:r>
          </w:p>
          <w:p w:rsidR="00BD3C53" w:rsidRDefault="00BD3C53" w:rsidP="00FD070C">
            <w:pPr>
              <w:rPr>
                <w:sz w:val="24"/>
                <w:szCs w:val="24"/>
              </w:rPr>
            </w:pPr>
          </w:p>
          <w:p w:rsidR="00BD3C53" w:rsidRDefault="00BD3C53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Chuck shared that Fairfield has spent most of the school year in a hybrid model with most of the program running face-to-face. They purchased supplies and dropped them off at every student’s house. These helped fill in the off-days from school. </w:t>
            </w:r>
          </w:p>
        </w:tc>
      </w:tr>
      <w:tr w:rsidR="00A44353" w:rsidTr="00020FE4">
        <w:tc>
          <w:tcPr>
            <w:tcW w:w="2785" w:type="dxa"/>
          </w:tcPr>
          <w:p w:rsidR="00A44353" w:rsidRPr="00BC2D83" w:rsidRDefault="00B14B5E" w:rsidP="00FD070C">
            <w:pPr>
              <w:rPr>
                <w:sz w:val="24"/>
                <w:szCs w:val="24"/>
              </w:rPr>
            </w:pPr>
            <w:r w:rsidRPr="00BC2D83">
              <w:rPr>
                <w:sz w:val="24"/>
                <w:szCs w:val="24"/>
              </w:rPr>
              <w:t>Other/Open Agenda</w:t>
            </w:r>
          </w:p>
          <w:p w:rsidR="00A44353" w:rsidRPr="00BC2D83" w:rsidRDefault="00A44353" w:rsidP="00FD070C">
            <w:pPr>
              <w:rPr>
                <w:sz w:val="24"/>
                <w:szCs w:val="24"/>
              </w:rPr>
            </w:pPr>
          </w:p>
        </w:tc>
        <w:tc>
          <w:tcPr>
            <w:tcW w:w="8005" w:type="dxa"/>
          </w:tcPr>
          <w:p w:rsidR="00A44353" w:rsidRPr="00081720" w:rsidRDefault="00077330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</w:tbl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Pr="00275E7E" w:rsidRDefault="00077330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January 21, 2021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077330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Introductory paragraph explaining the intent and purpose of the Telegram App.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6F60" w:rsidRPr="00275E7E" w:rsidRDefault="00077330" w:rsidP="00417A2D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Elana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077330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Will be used to roll this out to the Directors on January 22 and the network the last week of January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0A0179" w:rsidRPr="00275E7E" w:rsidRDefault="00077330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Chuck and Barb will provide input and support to the writing process. </w:t>
            </w: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077330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March 1, 2021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077330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Identify ideas for additional work that align with committee goals for future meetings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077330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077330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This will allow us to identify a work plan for the remainder of the year.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077330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Goals are at the top of the agenda.</w:t>
            </w: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3173FF">
        <w:rPr>
          <w:b/>
          <w:color w:val="000000"/>
          <w:sz w:val="28"/>
          <w:szCs w:val="28"/>
        </w:rPr>
        <w:t xml:space="preserve"> – </w:t>
      </w:r>
      <w:r w:rsidR="00B97B40">
        <w:rPr>
          <w:b/>
          <w:color w:val="000000"/>
          <w:sz w:val="28"/>
          <w:szCs w:val="28"/>
        </w:rPr>
        <w:t>March 17</w:t>
      </w:r>
      <w:r w:rsidR="00CF3EE5">
        <w:rPr>
          <w:b/>
          <w:color w:val="000000"/>
          <w:sz w:val="28"/>
          <w:szCs w:val="28"/>
        </w:rPr>
        <w:t>,</w:t>
      </w:r>
      <w:r w:rsidR="001F0EE6">
        <w:rPr>
          <w:b/>
          <w:color w:val="000000"/>
          <w:sz w:val="28"/>
          <w:szCs w:val="28"/>
        </w:rPr>
        <w:t xml:space="preserve"> 2021</w:t>
      </w:r>
      <w:r w:rsidR="00CF3EE5">
        <w:rPr>
          <w:b/>
          <w:color w:val="000000"/>
          <w:sz w:val="28"/>
          <w:szCs w:val="28"/>
        </w:rPr>
        <w:t xml:space="preserve"> at 11am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10"/>
      <w:head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54" w:rsidRDefault="005D6554">
      <w:pPr>
        <w:spacing w:after="0" w:line="240" w:lineRule="auto"/>
      </w:pPr>
      <w:r>
        <w:separator/>
      </w:r>
    </w:p>
  </w:endnote>
  <w:endnote w:type="continuationSeparator" w:id="0">
    <w:p w:rsidR="005D6554" w:rsidRDefault="005D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54" w:rsidRDefault="005D6554">
      <w:pPr>
        <w:spacing w:after="0" w:line="240" w:lineRule="auto"/>
      </w:pPr>
      <w:r>
        <w:separator/>
      </w:r>
    </w:p>
  </w:footnote>
  <w:footnote w:type="continuationSeparator" w:id="0">
    <w:p w:rsidR="005D6554" w:rsidRDefault="005D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0A82"/>
    <w:multiLevelType w:val="hybridMultilevel"/>
    <w:tmpl w:val="BF8A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63135"/>
    <w:multiLevelType w:val="hybridMultilevel"/>
    <w:tmpl w:val="FE6C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930EB"/>
    <w:multiLevelType w:val="hybridMultilevel"/>
    <w:tmpl w:val="ABE0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E06B4"/>
    <w:multiLevelType w:val="hybridMultilevel"/>
    <w:tmpl w:val="AE98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F5303"/>
    <w:multiLevelType w:val="hybridMultilevel"/>
    <w:tmpl w:val="021C334C"/>
    <w:lvl w:ilvl="0" w:tplc="04090001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3ED9CC">
      <w:numFmt w:val="bullet"/>
      <w:lvlText w:val="-"/>
      <w:lvlJc w:val="left"/>
      <w:pPr>
        <w:ind w:left="2160" w:firstLine="0"/>
      </w:pPr>
      <w:rPr>
        <w:rFonts w:asciiTheme="minorHAnsi" w:eastAsiaTheme="minorHAnsi" w:hAnsiTheme="minorHAns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9DF0A0A"/>
    <w:multiLevelType w:val="hybridMultilevel"/>
    <w:tmpl w:val="9892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D"/>
    <w:rsid w:val="00020FE4"/>
    <w:rsid w:val="00031CD6"/>
    <w:rsid w:val="00077330"/>
    <w:rsid w:val="00081720"/>
    <w:rsid w:val="000A0179"/>
    <w:rsid w:val="001428E9"/>
    <w:rsid w:val="00176704"/>
    <w:rsid w:val="001C0896"/>
    <w:rsid w:val="001F0EE6"/>
    <w:rsid w:val="002C34F3"/>
    <w:rsid w:val="002E673C"/>
    <w:rsid w:val="003173FF"/>
    <w:rsid w:val="003D413C"/>
    <w:rsid w:val="004A3364"/>
    <w:rsid w:val="00506F60"/>
    <w:rsid w:val="005D6554"/>
    <w:rsid w:val="0061119D"/>
    <w:rsid w:val="006A56CB"/>
    <w:rsid w:val="007F3CF8"/>
    <w:rsid w:val="008E1354"/>
    <w:rsid w:val="008F319D"/>
    <w:rsid w:val="00A44353"/>
    <w:rsid w:val="00B14B5E"/>
    <w:rsid w:val="00B61848"/>
    <w:rsid w:val="00B851D9"/>
    <w:rsid w:val="00B97B40"/>
    <w:rsid w:val="00BC2D83"/>
    <w:rsid w:val="00BD3C53"/>
    <w:rsid w:val="00C343FE"/>
    <w:rsid w:val="00CF3EE5"/>
    <w:rsid w:val="00D507A0"/>
    <w:rsid w:val="00D72D84"/>
    <w:rsid w:val="00DD74F6"/>
    <w:rsid w:val="00DE16C3"/>
    <w:rsid w:val="00F65566"/>
    <w:rsid w:val="00F81DD5"/>
    <w:rsid w:val="00FC1E7A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B40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arris@spp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94732632017?pwd=OFFpdTk3UmM1L1V0TnZPTHRTNUtvd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fCxj8JyyyyxaJjPlYl5oegmywm7oD35RdPS_lv4Wl0Y/ed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4</cp:revision>
  <dcterms:created xsi:type="dcterms:W3CDTF">2021-01-13T17:55:00Z</dcterms:created>
  <dcterms:modified xsi:type="dcterms:W3CDTF">2021-01-13T17:56:00Z</dcterms:modified>
</cp:coreProperties>
</file>